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599AC" w14:textId="261B5D6F" w:rsidR="00B1313A" w:rsidRDefault="006F1468" w:rsidP="001957E0">
      <w:pPr>
        <w:jc w:val="center"/>
        <w:rPr>
          <w:rFonts w:asciiTheme="minorHAnsi" w:hAnsiTheme="minorHAnsi" w:cstheme="minorBidi"/>
          <w:b/>
          <w:color w:val="auto"/>
        </w:rPr>
      </w:pPr>
      <w:r>
        <w:rPr>
          <w:rFonts w:asciiTheme="minorHAnsi" w:hAnsiTheme="minorHAnsi" w:cstheme="minorBidi"/>
          <w:b/>
          <w:color w:val="auto"/>
          <w:lang w:eastAsia="de-DE"/>
        </w:rPr>
        <w:drawing>
          <wp:anchor distT="0" distB="0" distL="114300" distR="114300" simplePos="0" relativeHeight="251660288" behindDoc="1" locked="0" layoutInCell="1" allowOverlap="1" wp14:anchorId="6A108C47" wp14:editId="7290E316">
            <wp:simplePos x="0" y="0"/>
            <wp:positionH relativeFrom="column">
              <wp:posOffset>3977005</wp:posOffset>
            </wp:positionH>
            <wp:positionV relativeFrom="paragraph">
              <wp:posOffset>7620</wp:posOffset>
            </wp:positionV>
            <wp:extent cx="2202815" cy="714375"/>
            <wp:effectExtent l="0" t="0" r="6985" b="9525"/>
            <wp:wrapTight wrapText="bothSides">
              <wp:wrapPolygon edited="0">
                <wp:start x="0" y="0"/>
                <wp:lineTo x="0" y="21312"/>
                <wp:lineTo x="21482" y="21312"/>
                <wp:lineTo x="21482" y="0"/>
                <wp:lineTo x="0" y="0"/>
              </wp:wrapPolygon>
            </wp:wrapTight>
            <wp:docPr id="3" name="Grafik 3" descr="Logog von Engagement Global bestehend aus drei Figuren sowie dem Schriftzug Engagement Global Service für Entwicklungsinitiativen" title="Logo von Engagement Global gGm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5C1">
        <w:rPr>
          <w:lang w:eastAsia="de-DE"/>
        </w:rPr>
        <w:drawing>
          <wp:anchor distT="0" distB="0" distL="114300" distR="114300" simplePos="0" relativeHeight="251659264" behindDoc="1" locked="0" layoutInCell="1" allowOverlap="1" wp14:anchorId="2C3B5B56" wp14:editId="07C26FBB">
            <wp:simplePos x="0" y="0"/>
            <wp:positionH relativeFrom="column">
              <wp:posOffset>-201295</wp:posOffset>
            </wp:positionH>
            <wp:positionV relativeFrom="paragraph">
              <wp:posOffset>7620</wp:posOffset>
            </wp:positionV>
            <wp:extent cx="1842770" cy="593725"/>
            <wp:effectExtent l="0" t="0" r="5080" b="0"/>
            <wp:wrapTight wrapText="bothSides">
              <wp:wrapPolygon edited="0">
                <wp:start x="0" y="0"/>
                <wp:lineTo x="0" y="20791"/>
                <wp:lineTo x="21436" y="20791"/>
                <wp:lineTo x="21436" y="0"/>
                <wp:lineTo x="0" y="0"/>
              </wp:wrapPolygon>
            </wp:wrapTight>
            <wp:docPr id="4" name="Grafik 1" descr="Logo des weltwärts-Programms mit dem Schriftzug weltwärts" title="Logo des weltwärts-Program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C0083" w14:textId="0AC2135A" w:rsidR="00B1313A" w:rsidRDefault="00B1313A" w:rsidP="001957E0">
      <w:pPr>
        <w:jc w:val="center"/>
        <w:rPr>
          <w:rFonts w:asciiTheme="minorHAnsi" w:hAnsiTheme="minorHAnsi" w:cstheme="minorBidi"/>
          <w:b/>
          <w:color w:val="auto"/>
        </w:rPr>
      </w:pPr>
    </w:p>
    <w:p w14:paraId="386DF7E9" w14:textId="77777777" w:rsidR="00B1313A" w:rsidRDefault="00B1313A" w:rsidP="001957E0">
      <w:pPr>
        <w:jc w:val="center"/>
        <w:rPr>
          <w:rFonts w:asciiTheme="minorHAnsi" w:hAnsiTheme="minorHAnsi" w:cstheme="minorBidi"/>
          <w:b/>
          <w:color w:val="auto"/>
        </w:rPr>
      </w:pPr>
    </w:p>
    <w:p w14:paraId="21D4018C" w14:textId="6C7F9677" w:rsidR="00B1313A" w:rsidRDefault="00B1313A" w:rsidP="001957E0">
      <w:pPr>
        <w:jc w:val="center"/>
        <w:rPr>
          <w:rFonts w:asciiTheme="minorHAnsi" w:hAnsiTheme="minorHAnsi" w:cstheme="minorBidi"/>
          <w:b/>
          <w:color w:val="auto"/>
        </w:rPr>
      </w:pPr>
    </w:p>
    <w:p w14:paraId="31D47F5D" w14:textId="77777777" w:rsidR="00B1313A" w:rsidRDefault="00B1313A" w:rsidP="001957E0">
      <w:pPr>
        <w:jc w:val="center"/>
        <w:rPr>
          <w:rFonts w:asciiTheme="minorHAnsi" w:hAnsiTheme="minorHAnsi" w:cstheme="minorBidi"/>
          <w:b/>
          <w:color w:val="auto"/>
        </w:rPr>
      </w:pPr>
    </w:p>
    <w:p w14:paraId="71616BE9" w14:textId="77777777" w:rsidR="006F1468" w:rsidRDefault="006F1468" w:rsidP="00B920CD">
      <w:pPr>
        <w:spacing w:line="360" w:lineRule="auto"/>
        <w:jc w:val="center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14:paraId="618BE776" w14:textId="6E3828E1" w:rsidR="001957E0" w:rsidRPr="00B920CD" w:rsidRDefault="00764480" w:rsidP="006C24F7">
      <w:pPr>
        <w:pStyle w:val="berschrift1"/>
        <w:jc w:val="center"/>
        <w:rPr>
          <w:b w:val="0"/>
        </w:rPr>
      </w:pPr>
      <w:r w:rsidRPr="00B920CD">
        <w:t>Regelung für die Berechnung der Förderung für Q</w:t>
      </w:r>
      <w:r w:rsidR="00B32FD8" w:rsidRPr="00B920CD">
        <w:t>ualität</w:t>
      </w:r>
    </w:p>
    <w:p w14:paraId="4F3B7521" w14:textId="5920FCD1" w:rsidR="001957E0" w:rsidRPr="001957E0" w:rsidRDefault="00B1313A" w:rsidP="006C24F7">
      <w:pPr>
        <w:pStyle w:val="berschrift1"/>
        <w:jc w:val="center"/>
        <w:rPr>
          <w:b w:val="0"/>
        </w:rPr>
      </w:pPr>
      <w:r>
        <w:t>29.03</w:t>
      </w:r>
      <w:r w:rsidR="001957E0">
        <w:t>.</w:t>
      </w:r>
      <w:r w:rsidR="00BD5E6F">
        <w:t>20</w:t>
      </w:r>
      <w:r>
        <w:t>23</w:t>
      </w:r>
    </w:p>
    <w:p w14:paraId="341DD38C" w14:textId="30EF0A59" w:rsidR="00337278" w:rsidRPr="00B76A1F" w:rsidRDefault="00337278" w:rsidP="006C24F7">
      <w:pPr>
        <w:rPr>
          <w:b/>
          <w:color w:val="auto"/>
        </w:rPr>
      </w:pPr>
    </w:p>
    <w:p w14:paraId="05AACE2C" w14:textId="6F200705" w:rsidR="001A5ED4" w:rsidRDefault="001957E0" w:rsidP="006C24F7">
      <w:pPr>
        <w:spacing w:after="120" w:line="360" w:lineRule="auto"/>
        <w:rPr>
          <w:color w:val="auto"/>
        </w:rPr>
      </w:pPr>
      <w:r>
        <w:rPr>
          <w:color w:val="auto"/>
        </w:rPr>
        <w:t xml:space="preserve">Grundlage für die Berechnung der </w:t>
      </w:r>
      <w:r w:rsidR="00972357">
        <w:rPr>
          <w:color w:val="auto"/>
        </w:rPr>
        <w:t xml:space="preserve">Förderung für Qualität in </w:t>
      </w:r>
      <w:r w:rsidR="00C3572A">
        <w:rPr>
          <w:color w:val="auto"/>
        </w:rPr>
        <w:t>Finanzierungsplanposition</w:t>
      </w:r>
      <w:r w:rsidR="00972357">
        <w:rPr>
          <w:color w:val="auto"/>
        </w:rPr>
        <w:t xml:space="preserve"> 2</w:t>
      </w:r>
      <w:r>
        <w:rPr>
          <w:color w:val="auto"/>
        </w:rPr>
        <w:t xml:space="preserve"> </w:t>
      </w:r>
      <w:r w:rsidR="00C3572A">
        <w:rPr>
          <w:color w:val="auto"/>
        </w:rPr>
        <w:t xml:space="preserve">(KP 2) </w:t>
      </w:r>
      <w:r>
        <w:rPr>
          <w:color w:val="auto"/>
        </w:rPr>
        <w:t>ist die Anzahl der Freiwilligenmonate</w:t>
      </w:r>
      <w:r w:rsidR="00337278">
        <w:rPr>
          <w:color w:val="auto"/>
        </w:rPr>
        <w:t xml:space="preserve"> (FWM)</w:t>
      </w:r>
      <w:r>
        <w:rPr>
          <w:color w:val="auto"/>
        </w:rPr>
        <w:t xml:space="preserve">, die im Zusatz zum betreffenden </w:t>
      </w:r>
      <w:r w:rsidR="00337278">
        <w:rPr>
          <w:color w:val="auto"/>
        </w:rPr>
        <w:t xml:space="preserve">Weiterleitungsvertrag (WLV) </w:t>
      </w:r>
      <w:r>
        <w:rPr>
          <w:color w:val="auto"/>
        </w:rPr>
        <w:t xml:space="preserve">auf Basis des Änderungsantrags </w:t>
      </w:r>
      <w:r w:rsidR="00337278">
        <w:rPr>
          <w:color w:val="auto"/>
        </w:rPr>
        <w:t xml:space="preserve">(ÄA) </w:t>
      </w:r>
      <w:r>
        <w:rPr>
          <w:color w:val="auto"/>
        </w:rPr>
        <w:t xml:space="preserve">zur Frist 31.08. des ersten Haushaltsjahres bewilligt werden. Stellt ein Träger keinen </w:t>
      </w:r>
      <w:r w:rsidR="00890163">
        <w:rPr>
          <w:color w:val="auto"/>
        </w:rPr>
        <w:t>Ä</w:t>
      </w:r>
      <w:bookmarkStart w:id="0" w:name="_GoBack"/>
      <w:bookmarkEnd w:id="0"/>
      <w:r w:rsidR="00890163">
        <w:rPr>
          <w:color w:val="auto"/>
        </w:rPr>
        <w:t xml:space="preserve">A </w:t>
      </w:r>
      <w:r>
        <w:rPr>
          <w:color w:val="auto"/>
        </w:rPr>
        <w:t>zu dieser Frist, dient als Grundlage für die Berechnung der</w:t>
      </w:r>
      <w:r w:rsidR="00C3572A">
        <w:rPr>
          <w:color w:val="auto"/>
        </w:rPr>
        <w:t xml:space="preserve"> Förderung für Qualität in KP 2 </w:t>
      </w:r>
      <w:r>
        <w:rPr>
          <w:color w:val="auto"/>
        </w:rPr>
        <w:t xml:space="preserve">die Anzahl der Freiwilligenmonate, die im betreffenden WLV </w:t>
      </w:r>
      <w:r w:rsidR="0046194F">
        <w:rPr>
          <w:color w:val="auto"/>
        </w:rPr>
        <w:t xml:space="preserve">bzw. Zusatz zum WLV </w:t>
      </w:r>
      <w:r>
        <w:rPr>
          <w:color w:val="auto"/>
        </w:rPr>
        <w:t>am Tag der Frist 31.08. des ersten Haushaltsjahres</w:t>
      </w:r>
      <w:r w:rsidR="00B76A1F">
        <w:rPr>
          <w:color w:val="auto"/>
        </w:rPr>
        <w:t xml:space="preserve"> im Bewilligungszeitraum</w:t>
      </w:r>
      <w:r>
        <w:rPr>
          <w:color w:val="auto"/>
        </w:rPr>
        <w:t xml:space="preserve"> bewilligt ist. </w:t>
      </w:r>
    </w:p>
    <w:p w14:paraId="7FD6C7F1" w14:textId="10018392" w:rsidR="008C2D75" w:rsidRDefault="001957E0" w:rsidP="006C24F7">
      <w:pPr>
        <w:spacing w:after="120" w:line="360" w:lineRule="auto"/>
        <w:rPr>
          <w:color w:val="auto"/>
        </w:rPr>
      </w:pPr>
      <w:r>
        <w:rPr>
          <w:color w:val="auto"/>
        </w:rPr>
        <w:t xml:space="preserve">Die </w:t>
      </w:r>
      <w:r w:rsidR="00C3572A">
        <w:rPr>
          <w:color w:val="auto"/>
        </w:rPr>
        <w:t>KP 2</w:t>
      </w:r>
      <w:r>
        <w:rPr>
          <w:color w:val="auto"/>
        </w:rPr>
        <w:t xml:space="preserve"> im betreffenden WLV kann durch Änderungsanträge, die </w:t>
      </w:r>
      <w:r w:rsidR="001073B4">
        <w:rPr>
          <w:color w:val="auto"/>
        </w:rPr>
        <w:t>nach der oben genannten Frist (31.08.)</w:t>
      </w:r>
      <w:r>
        <w:rPr>
          <w:color w:val="auto"/>
        </w:rPr>
        <w:t xml:space="preserve"> während des Bewilligungszeitraums eingehen, nicht mehr verändert werden. </w:t>
      </w:r>
    </w:p>
    <w:p w14:paraId="0DC22CE4" w14:textId="6C2868EA" w:rsidR="001957E0" w:rsidRDefault="00D85C64" w:rsidP="006C24F7">
      <w:pPr>
        <w:spacing w:after="120" w:line="360" w:lineRule="auto"/>
        <w:rPr>
          <w:color w:val="auto"/>
        </w:rPr>
      </w:pPr>
      <w:r>
        <w:rPr>
          <w:color w:val="auto"/>
        </w:rPr>
        <w:t xml:space="preserve">Die Anzahl der Freiwilligenmonate für </w:t>
      </w:r>
      <w:r w:rsidR="00961E0C">
        <w:rPr>
          <w:color w:val="auto"/>
        </w:rPr>
        <w:t xml:space="preserve">Finanzierungsplanposition </w:t>
      </w:r>
      <w:r>
        <w:rPr>
          <w:color w:val="auto"/>
        </w:rPr>
        <w:t>1 und 2 sind im entspr</w:t>
      </w:r>
      <w:r w:rsidR="009325C1">
        <w:rPr>
          <w:color w:val="auto"/>
        </w:rPr>
        <w:t>echenden Änderungsantrag gleich,</w:t>
      </w:r>
      <w:r>
        <w:rPr>
          <w:color w:val="auto"/>
        </w:rPr>
        <w:t xml:space="preserve"> </w:t>
      </w:r>
      <w:r w:rsidR="00FB3353">
        <w:rPr>
          <w:color w:val="auto"/>
        </w:rPr>
        <w:t xml:space="preserve">denn </w:t>
      </w:r>
      <w:r>
        <w:rPr>
          <w:color w:val="auto"/>
        </w:rPr>
        <w:t xml:space="preserve">die </w:t>
      </w:r>
      <w:r w:rsidR="00890163">
        <w:rPr>
          <w:color w:val="auto"/>
        </w:rPr>
        <w:t>Förderung</w:t>
      </w:r>
      <w:r w:rsidR="001957E0">
        <w:rPr>
          <w:color w:val="auto"/>
        </w:rPr>
        <w:t xml:space="preserve"> für Qualität unter </w:t>
      </w:r>
      <w:r w:rsidR="001073B4">
        <w:rPr>
          <w:color w:val="auto"/>
        </w:rPr>
        <w:t>KP</w:t>
      </w:r>
      <w:r w:rsidR="001957E0">
        <w:rPr>
          <w:color w:val="auto"/>
        </w:rPr>
        <w:t xml:space="preserve"> 2</w:t>
      </w:r>
      <w:r w:rsidR="00FB3353">
        <w:rPr>
          <w:color w:val="auto"/>
        </w:rPr>
        <w:t xml:space="preserve"> berücksichtigt</w:t>
      </w:r>
      <w:r w:rsidR="001957E0">
        <w:rPr>
          <w:color w:val="auto"/>
        </w:rPr>
        <w:t xml:space="preserve">, </w:t>
      </w:r>
    </w:p>
    <w:p w14:paraId="6D40EF48" w14:textId="2EF0A151" w:rsidR="001957E0" w:rsidRDefault="001957E0" w:rsidP="006C24F7">
      <w:pPr>
        <w:pStyle w:val="Listenabsatz"/>
        <w:numPr>
          <w:ilvl w:val="0"/>
          <w:numId w:val="1"/>
        </w:numPr>
        <w:spacing w:after="120" w:line="360" w:lineRule="auto"/>
        <w:rPr>
          <w:color w:val="auto"/>
        </w:rPr>
      </w:pPr>
      <w:r>
        <w:rPr>
          <w:color w:val="auto"/>
        </w:rPr>
        <w:t xml:space="preserve">alle tatsächlich durchgeführten und realistisch geplanten Einsatzmonate </w:t>
      </w:r>
    </w:p>
    <w:p w14:paraId="6F288FCB" w14:textId="341ADB9E" w:rsidR="001957E0" w:rsidRDefault="00175742" w:rsidP="006C24F7">
      <w:pPr>
        <w:pStyle w:val="Listenabsatz"/>
        <w:numPr>
          <w:ilvl w:val="0"/>
          <w:numId w:val="1"/>
        </w:numPr>
        <w:spacing w:after="120" w:line="360" w:lineRule="auto"/>
        <w:rPr>
          <w:color w:val="auto"/>
        </w:rPr>
      </w:pPr>
      <w:r>
        <w:rPr>
          <w:color w:val="auto"/>
        </w:rPr>
        <w:t xml:space="preserve">alle </w:t>
      </w:r>
      <w:r w:rsidR="00405087">
        <w:rPr>
          <w:color w:val="auto"/>
        </w:rPr>
        <w:t>Einsatzmonate</w:t>
      </w:r>
      <w:r>
        <w:rPr>
          <w:color w:val="auto"/>
        </w:rPr>
        <w:t xml:space="preserve">, die auf Abbrüche entfallen </w:t>
      </w:r>
    </w:p>
    <w:p w14:paraId="54C5E7B7" w14:textId="70CBD807" w:rsidR="001957E0" w:rsidRPr="006C24F7" w:rsidRDefault="001957E0" w:rsidP="006C24F7">
      <w:pPr>
        <w:pStyle w:val="Listenabsatz"/>
        <w:numPr>
          <w:ilvl w:val="0"/>
          <w:numId w:val="1"/>
        </w:numPr>
        <w:spacing w:after="120" w:line="360" w:lineRule="auto"/>
        <w:rPr>
          <w:color w:val="auto"/>
        </w:rPr>
      </w:pPr>
      <w:r>
        <w:rPr>
          <w:color w:val="auto"/>
        </w:rPr>
        <w:t>alle</w:t>
      </w:r>
      <w:r w:rsidR="00405087">
        <w:rPr>
          <w:color w:val="auto"/>
        </w:rPr>
        <w:t xml:space="preserve"> Einsatzmonate</w:t>
      </w:r>
      <w:r>
        <w:rPr>
          <w:color w:val="auto"/>
        </w:rPr>
        <w:t>, die auf Stornierungen entfallen.</w:t>
      </w:r>
    </w:p>
    <w:p w14:paraId="52674B80" w14:textId="52505014" w:rsidR="006D3ED9" w:rsidRDefault="001957E0" w:rsidP="006C24F7">
      <w:pPr>
        <w:spacing w:after="120" w:line="360" w:lineRule="auto"/>
        <w:rPr>
          <w:color w:val="auto"/>
        </w:rPr>
      </w:pPr>
      <w:r>
        <w:rPr>
          <w:color w:val="auto"/>
        </w:rPr>
        <w:t xml:space="preserve">Zu </w:t>
      </w:r>
      <w:r w:rsidR="009325C1">
        <w:rPr>
          <w:color w:val="auto"/>
        </w:rPr>
        <w:t>drittens</w:t>
      </w:r>
      <w:r>
        <w:rPr>
          <w:color w:val="auto"/>
        </w:rPr>
        <w:t xml:space="preserve"> zählen die Einsatzmonate, die vom Träger zur Finanzierung der Stornokosten unter Punkt 5 im ÄA gemeldet und per Zusatz bewilligt werden. NICHT gemeint sind die ursprünglich geplanten Einsatzmonate des Dienstes, der storniert wurde. </w:t>
      </w:r>
    </w:p>
    <w:p w14:paraId="4C7194A1" w14:textId="728D4438" w:rsidR="006D3ED9" w:rsidRPr="006D3ED9" w:rsidRDefault="006D3ED9" w:rsidP="006C24F7">
      <w:pPr>
        <w:spacing w:after="120" w:line="360" w:lineRule="auto"/>
        <w:rPr>
          <w:i/>
          <w:color w:val="auto"/>
        </w:rPr>
      </w:pPr>
      <w:r>
        <w:rPr>
          <w:i/>
          <w:color w:val="auto"/>
        </w:rPr>
        <w:t xml:space="preserve">&gt; </w:t>
      </w:r>
      <w:r w:rsidRPr="006D3ED9">
        <w:rPr>
          <w:i/>
          <w:color w:val="auto"/>
        </w:rPr>
        <w:t>Siehe Beispiel auf Seite 2</w:t>
      </w:r>
    </w:p>
    <w:p w14:paraId="09C95953" w14:textId="77777777" w:rsidR="00CF3457" w:rsidRDefault="00CF3457" w:rsidP="006C24F7">
      <w:pPr>
        <w:spacing w:after="120" w:line="360" w:lineRule="auto"/>
        <w:rPr>
          <w:color w:val="auto"/>
        </w:rPr>
      </w:pPr>
    </w:p>
    <w:p w14:paraId="27EA6F51" w14:textId="77777777" w:rsidR="00D416E0" w:rsidRDefault="00D416E0" w:rsidP="006C24F7">
      <w:pPr>
        <w:spacing w:after="120" w:line="360" w:lineRule="auto"/>
        <w:rPr>
          <w:b/>
          <w:color w:val="auto"/>
        </w:rPr>
      </w:pPr>
    </w:p>
    <w:p w14:paraId="6988B91F" w14:textId="77777777" w:rsidR="00D416E0" w:rsidRDefault="00D416E0" w:rsidP="006C24F7">
      <w:pPr>
        <w:spacing w:after="120" w:line="360" w:lineRule="auto"/>
        <w:rPr>
          <w:b/>
          <w:color w:val="auto"/>
        </w:rPr>
      </w:pPr>
    </w:p>
    <w:p w14:paraId="07A04848" w14:textId="77777777" w:rsidR="00D416E0" w:rsidRDefault="00D416E0" w:rsidP="006C24F7">
      <w:pPr>
        <w:spacing w:after="120" w:line="360" w:lineRule="auto"/>
        <w:rPr>
          <w:b/>
          <w:color w:val="auto"/>
        </w:rPr>
      </w:pPr>
    </w:p>
    <w:p w14:paraId="208C30CC" w14:textId="77777777" w:rsidR="00D416E0" w:rsidRDefault="00D416E0" w:rsidP="006C24F7">
      <w:pPr>
        <w:spacing w:after="120" w:line="360" w:lineRule="auto"/>
        <w:rPr>
          <w:b/>
          <w:color w:val="auto"/>
        </w:rPr>
      </w:pPr>
    </w:p>
    <w:p w14:paraId="153D3BAD" w14:textId="77777777" w:rsidR="00D416E0" w:rsidRDefault="00D416E0" w:rsidP="006C24F7">
      <w:pPr>
        <w:spacing w:after="120" w:line="360" w:lineRule="auto"/>
        <w:rPr>
          <w:b/>
          <w:color w:val="auto"/>
        </w:rPr>
      </w:pPr>
    </w:p>
    <w:p w14:paraId="5FF94A24" w14:textId="77777777" w:rsidR="00D416E0" w:rsidRDefault="00D416E0" w:rsidP="006C24F7">
      <w:pPr>
        <w:spacing w:after="120" w:line="360" w:lineRule="auto"/>
        <w:rPr>
          <w:b/>
          <w:color w:val="auto"/>
        </w:rPr>
      </w:pPr>
    </w:p>
    <w:p w14:paraId="79241787" w14:textId="77777777" w:rsidR="00890D30" w:rsidRDefault="00890D30" w:rsidP="006C24F7">
      <w:pPr>
        <w:spacing w:after="120" w:line="360" w:lineRule="auto"/>
        <w:rPr>
          <w:b/>
          <w:color w:val="auto"/>
        </w:rPr>
      </w:pPr>
    </w:p>
    <w:p w14:paraId="7673A651" w14:textId="25884DF9" w:rsidR="001957E0" w:rsidRDefault="001957E0" w:rsidP="006C24F7">
      <w:pPr>
        <w:spacing w:after="120" w:line="360" w:lineRule="auto"/>
        <w:rPr>
          <w:color w:val="auto"/>
        </w:rPr>
      </w:pPr>
      <w:r w:rsidRPr="00CF3457">
        <w:rPr>
          <w:b/>
          <w:color w:val="auto"/>
        </w:rPr>
        <w:lastRenderedPageBreak/>
        <w:t>Beispiel:</w:t>
      </w:r>
      <w:r>
        <w:rPr>
          <w:color w:val="auto"/>
        </w:rPr>
        <w:t xml:space="preserve"> Ein Träger plant 10 Freiwillige</w:t>
      </w:r>
      <w:r w:rsidR="00890163">
        <w:rPr>
          <w:color w:val="auto"/>
        </w:rPr>
        <w:t xml:space="preserve"> (FW)</w:t>
      </w:r>
      <w:r>
        <w:rPr>
          <w:color w:val="auto"/>
        </w:rPr>
        <w:t xml:space="preserve"> für je 12 Monate </w:t>
      </w:r>
      <w:r w:rsidR="00890163">
        <w:rPr>
          <w:color w:val="auto"/>
        </w:rPr>
        <w:t xml:space="preserve">(FWM) </w:t>
      </w:r>
      <w:r>
        <w:rPr>
          <w:color w:val="auto"/>
        </w:rPr>
        <w:t xml:space="preserve">zu entsenden (= 120 FWM). 2 FW stornieren (= 96 FWM). Es entstehen Ausgaben für die 2 stornierten FW </w:t>
      </w:r>
      <w:proofErr w:type="spellStart"/>
      <w:r>
        <w:rPr>
          <w:color w:val="auto"/>
        </w:rPr>
        <w:t>i.H.v</w:t>
      </w:r>
      <w:proofErr w:type="spellEnd"/>
      <w:r>
        <w:rPr>
          <w:color w:val="auto"/>
        </w:rPr>
        <w:t>. 4 Einsatzmonaten (= 100 FWM). Dem QV gemeldet werden 100 Einsatzmonate.</w:t>
      </w:r>
    </w:p>
    <w:p w14:paraId="0BD60836" w14:textId="10599C5C" w:rsidR="001957E0" w:rsidRDefault="001957E0" w:rsidP="006C24F7">
      <w:pPr>
        <w:spacing w:after="120" w:line="360" w:lineRule="auto"/>
        <w:rPr>
          <w:color w:val="auto"/>
        </w:rPr>
      </w:pPr>
      <w:r>
        <w:rPr>
          <w:color w:val="auto"/>
          <w:lang w:eastAsia="de-DE"/>
        </w:rPr>
        <w:drawing>
          <wp:inline distT="0" distB="0" distL="0" distR="0" wp14:anchorId="67E25D08" wp14:editId="44A7830C">
            <wp:extent cx="6048375" cy="3533775"/>
            <wp:effectExtent l="0" t="0" r="9525" b="9525"/>
            <wp:docPr id="1" name="Grafik 1" descr="Screenshot eines Bundesmittelantrags für weltwärts Entsendungen oder Aufnahmen. Der Screenshot zeigt die Inhalte des Beispiels und wie sie in das Formular Bundesmittelantrag eingefügt werden müssen" title="Screenshot Bundesmittelantrag weltwärts Freiwilligendie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png@01D8C916.B402422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0"/>
                    <a:stretch/>
                  </pic:blipFill>
                  <pic:spPr bwMode="auto">
                    <a:xfrm>
                      <a:off x="0" y="0"/>
                      <a:ext cx="60483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A63D8C" w14:textId="6F814B2D" w:rsidR="001957E0" w:rsidRPr="00435E73" w:rsidRDefault="00E80B05" w:rsidP="006C24F7">
      <w:pPr>
        <w:spacing w:after="120" w:line="360" w:lineRule="auto"/>
        <w:rPr>
          <w:color w:val="auto"/>
        </w:rPr>
      </w:pPr>
      <w:r w:rsidRPr="00435E73">
        <w:rPr>
          <w:color w:val="auto"/>
        </w:rPr>
        <w:t>Es sollte sichergestellt werden, dass der Rechnungsstellung der Qualitätsverbünde an die Träger die bewilligten</w:t>
      </w:r>
      <w:r w:rsidR="000B3A17">
        <w:rPr>
          <w:color w:val="auto"/>
        </w:rPr>
        <w:t xml:space="preserve"> Einsatzmonate</w:t>
      </w:r>
      <w:r w:rsidRPr="00435E73">
        <w:rPr>
          <w:color w:val="auto"/>
        </w:rPr>
        <w:t xml:space="preserve"> auf der oben genannten Basis zugrunde lieg</w:t>
      </w:r>
      <w:r w:rsidR="00435E73">
        <w:rPr>
          <w:color w:val="auto"/>
        </w:rPr>
        <w:t>en</w:t>
      </w:r>
      <w:r w:rsidRPr="00435E73">
        <w:rPr>
          <w:color w:val="auto"/>
        </w:rPr>
        <w:t>.</w:t>
      </w:r>
    </w:p>
    <w:p w14:paraId="6CFB18C1" w14:textId="74589565" w:rsidR="00A71B9F" w:rsidRDefault="001957E0" w:rsidP="006C24F7">
      <w:pPr>
        <w:spacing w:after="120" w:line="360" w:lineRule="auto"/>
      </w:pPr>
      <w:r>
        <w:rPr>
          <w:color w:val="auto"/>
        </w:rPr>
        <w:t>Über die Finanzierungsplanposition 2 „Qualität“ hinaus sind Ausgaben für Qualitätsarbeit auch unter Finanzierungsplanposition 1 zuwendungsfähig.</w:t>
      </w:r>
    </w:p>
    <w:sectPr w:rsidR="00A71B9F" w:rsidSect="00B1313A">
      <w:footerReference w:type="default" r:id="rId11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366A24" w16cid:durableId="26DD9DDB"/>
  <w16cid:commentId w16cid:paraId="3B129DED" w16cid:durableId="26DD9DDC"/>
  <w16cid:commentId w16cid:paraId="3837C108" w16cid:durableId="26DD9D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8192A" w14:textId="77777777" w:rsidR="002924BF" w:rsidRDefault="002924BF" w:rsidP="00C449E3">
      <w:r>
        <w:separator/>
      </w:r>
    </w:p>
  </w:endnote>
  <w:endnote w:type="continuationSeparator" w:id="0">
    <w:p w14:paraId="66EBC5FC" w14:textId="77777777" w:rsidR="002924BF" w:rsidRDefault="002924BF" w:rsidP="00C4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077668"/>
      <w:docPartObj>
        <w:docPartGallery w:val="Page Numbers (Bottom of Page)"/>
        <w:docPartUnique/>
      </w:docPartObj>
    </w:sdtPr>
    <w:sdtEndPr/>
    <w:sdtContent>
      <w:p w14:paraId="015F8FC2" w14:textId="47E54F45" w:rsidR="006B3480" w:rsidRDefault="006B348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460">
          <w:rPr>
            <w:noProof/>
          </w:rPr>
          <w:t>1</w:t>
        </w:r>
        <w:r>
          <w:fldChar w:fldCharType="end"/>
        </w:r>
      </w:p>
    </w:sdtContent>
  </w:sdt>
  <w:p w14:paraId="24B0D80B" w14:textId="77777777" w:rsidR="00C449E3" w:rsidRDefault="00C449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F7126" w14:textId="77777777" w:rsidR="002924BF" w:rsidRDefault="002924BF" w:rsidP="00C449E3">
      <w:r>
        <w:separator/>
      </w:r>
    </w:p>
  </w:footnote>
  <w:footnote w:type="continuationSeparator" w:id="0">
    <w:p w14:paraId="40A35D05" w14:textId="77777777" w:rsidR="002924BF" w:rsidRDefault="002924BF" w:rsidP="00C44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30A8F"/>
    <w:multiLevelType w:val="hybridMultilevel"/>
    <w:tmpl w:val="6A384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8277E"/>
    <w:multiLevelType w:val="hybridMultilevel"/>
    <w:tmpl w:val="88DA78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D7679"/>
    <w:multiLevelType w:val="hybridMultilevel"/>
    <w:tmpl w:val="E77E80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E0"/>
    <w:rsid w:val="00037210"/>
    <w:rsid w:val="00043736"/>
    <w:rsid w:val="00052FCC"/>
    <w:rsid w:val="000B3A17"/>
    <w:rsid w:val="001073B4"/>
    <w:rsid w:val="00114111"/>
    <w:rsid w:val="00175742"/>
    <w:rsid w:val="001957E0"/>
    <w:rsid w:val="001A5ED4"/>
    <w:rsid w:val="001B418D"/>
    <w:rsid w:val="00230747"/>
    <w:rsid w:val="00244075"/>
    <w:rsid w:val="00280460"/>
    <w:rsid w:val="002924BF"/>
    <w:rsid w:val="002C0326"/>
    <w:rsid w:val="002D0882"/>
    <w:rsid w:val="002E40E9"/>
    <w:rsid w:val="00305C13"/>
    <w:rsid w:val="00337278"/>
    <w:rsid w:val="00365FC3"/>
    <w:rsid w:val="003829F9"/>
    <w:rsid w:val="00405087"/>
    <w:rsid w:val="00435E73"/>
    <w:rsid w:val="0046194F"/>
    <w:rsid w:val="004664D0"/>
    <w:rsid w:val="00481B21"/>
    <w:rsid w:val="004F07C7"/>
    <w:rsid w:val="00510C06"/>
    <w:rsid w:val="00587CE5"/>
    <w:rsid w:val="005F2D00"/>
    <w:rsid w:val="005F5274"/>
    <w:rsid w:val="00606D7D"/>
    <w:rsid w:val="00636567"/>
    <w:rsid w:val="006B1EEF"/>
    <w:rsid w:val="006B3480"/>
    <w:rsid w:val="006C24F7"/>
    <w:rsid w:val="006D3ED9"/>
    <w:rsid w:val="006F1468"/>
    <w:rsid w:val="00734617"/>
    <w:rsid w:val="00764480"/>
    <w:rsid w:val="00764E8F"/>
    <w:rsid w:val="00776575"/>
    <w:rsid w:val="00791F0B"/>
    <w:rsid w:val="0082271E"/>
    <w:rsid w:val="00870108"/>
    <w:rsid w:val="00890163"/>
    <w:rsid w:val="00890B86"/>
    <w:rsid w:val="00890D30"/>
    <w:rsid w:val="008B19DC"/>
    <w:rsid w:val="008C2D75"/>
    <w:rsid w:val="009325C1"/>
    <w:rsid w:val="00961E0C"/>
    <w:rsid w:val="00972357"/>
    <w:rsid w:val="009917ED"/>
    <w:rsid w:val="009C44E4"/>
    <w:rsid w:val="009F5425"/>
    <w:rsid w:val="00A07308"/>
    <w:rsid w:val="00A47180"/>
    <w:rsid w:val="00A62C2D"/>
    <w:rsid w:val="00A71B9F"/>
    <w:rsid w:val="00A860AA"/>
    <w:rsid w:val="00A90085"/>
    <w:rsid w:val="00AE0F6F"/>
    <w:rsid w:val="00B1313A"/>
    <w:rsid w:val="00B32FD8"/>
    <w:rsid w:val="00B342F8"/>
    <w:rsid w:val="00B72075"/>
    <w:rsid w:val="00B76A1F"/>
    <w:rsid w:val="00B80208"/>
    <w:rsid w:val="00B920CD"/>
    <w:rsid w:val="00BD5E6F"/>
    <w:rsid w:val="00C3572A"/>
    <w:rsid w:val="00C449E3"/>
    <w:rsid w:val="00C464E1"/>
    <w:rsid w:val="00C63540"/>
    <w:rsid w:val="00CA4CC2"/>
    <w:rsid w:val="00CD3553"/>
    <w:rsid w:val="00CD56B7"/>
    <w:rsid w:val="00CF3457"/>
    <w:rsid w:val="00D10F62"/>
    <w:rsid w:val="00D27832"/>
    <w:rsid w:val="00D416E0"/>
    <w:rsid w:val="00D56713"/>
    <w:rsid w:val="00D85C64"/>
    <w:rsid w:val="00E139FD"/>
    <w:rsid w:val="00E20A51"/>
    <w:rsid w:val="00E80B05"/>
    <w:rsid w:val="00E8721B"/>
    <w:rsid w:val="00F960E2"/>
    <w:rsid w:val="00FB3353"/>
    <w:rsid w:val="00FB3717"/>
    <w:rsid w:val="00FC76D4"/>
    <w:rsid w:val="00FD1F6E"/>
    <w:rsid w:val="00FE1E7F"/>
    <w:rsid w:val="00FE4BD6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7DED"/>
  <w15:chartTrackingRefBased/>
  <w15:docId w15:val="{AF17BB34-28C7-4670-BF98-B824A679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57E0"/>
    <w:pPr>
      <w:spacing w:after="0" w:line="240" w:lineRule="auto"/>
    </w:pPr>
    <w:rPr>
      <w:rFonts w:ascii="Calibri" w:hAnsi="Calibri" w:cs="Times New Roman"/>
      <w:color w:val="1F497D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24F7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auto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57E0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C449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49E3"/>
    <w:rPr>
      <w:rFonts w:ascii="Calibri" w:hAnsi="Calibri" w:cs="Times New Roman"/>
      <w:color w:val="1F497D"/>
    </w:rPr>
  </w:style>
  <w:style w:type="paragraph" w:styleId="Fuzeile">
    <w:name w:val="footer"/>
    <w:basedOn w:val="Standard"/>
    <w:link w:val="FuzeileZchn"/>
    <w:uiPriority w:val="99"/>
    <w:unhideWhenUsed/>
    <w:rsid w:val="00C449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49E3"/>
    <w:rPr>
      <w:rFonts w:ascii="Calibri" w:hAnsi="Calibri" w:cs="Times New Roman"/>
      <w:color w:val="1F497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72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72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721B"/>
    <w:rPr>
      <w:rFonts w:ascii="Calibri" w:hAnsi="Calibri" w:cs="Times New Roman"/>
      <w:color w:val="1F497D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72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721B"/>
    <w:rPr>
      <w:rFonts w:ascii="Calibri" w:hAnsi="Calibri" w:cs="Times New Roman"/>
      <w:b/>
      <w:bCs/>
      <w:color w:val="1F497D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2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21B"/>
    <w:rPr>
      <w:rFonts w:ascii="Segoe UI" w:hAnsi="Segoe UI" w:cs="Segoe UI"/>
      <w:color w:val="1F497D"/>
      <w:sz w:val="18"/>
      <w:szCs w:val="18"/>
    </w:rPr>
  </w:style>
  <w:style w:type="paragraph" w:styleId="berarbeitung">
    <w:name w:val="Revision"/>
    <w:hidden/>
    <w:uiPriority w:val="99"/>
    <w:semiHidden/>
    <w:rsid w:val="00FC76D4"/>
    <w:pPr>
      <w:spacing w:after="0" w:line="240" w:lineRule="auto"/>
    </w:pPr>
    <w:rPr>
      <w:rFonts w:ascii="Calibri" w:hAnsi="Calibri" w:cs="Times New Roman"/>
      <w:color w:val="1F497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24F7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image" Target="cid:image001.png@01D8C916.B40242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Regelung für die Berechnung Förderung KP2</dc:title>
  <dc:subject/>
  <dc:creator>Hofmann, Tina (F14)</dc:creator>
  <cp:keywords/>
  <dc:description/>
  <cp:lastModifiedBy>Schmelzer-Pauschinger, Marvin (F14)</cp:lastModifiedBy>
  <cp:revision>22</cp:revision>
  <cp:lastPrinted>2023-03-29T09:42:00Z</cp:lastPrinted>
  <dcterms:created xsi:type="dcterms:W3CDTF">2022-11-17T13:15:00Z</dcterms:created>
  <dcterms:modified xsi:type="dcterms:W3CDTF">2023-03-29T11:10:00Z</dcterms:modified>
</cp:coreProperties>
</file>